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2EDB" w14:textId="77777777" w:rsidR="00C37271" w:rsidRDefault="00000000">
      <w:pPr>
        <w:spacing w:line="360" w:lineRule="auto"/>
        <w:jc w:val="center"/>
        <w:rPr>
          <w:rFonts w:ascii="Times New Roman" w:eastAsia="宋体" w:hAnsi="Times New Roman"/>
          <w:sz w:val="32"/>
          <w:szCs w:val="32"/>
        </w:rPr>
      </w:pPr>
      <w:r>
        <w:rPr>
          <w:rFonts w:ascii="Times New Roman" w:eastAsia="宋体" w:hAnsi="Times New Roman"/>
          <w:sz w:val="32"/>
          <w:szCs w:val="32"/>
        </w:rPr>
        <w:t>Evaluation report of planting monitoring in ITBA Nature Reserve</w:t>
      </w:r>
    </w:p>
    <w:p w14:paraId="7AE94047" w14:textId="77777777" w:rsidR="00C37271" w:rsidRDefault="00000000">
      <w:pPr>
        <w:pStyle w:val="1"/>
        <w:numPr>
          <w:ilvl w:val="0"/>
          <w:numId w:val="1"/>
        </w:numPr>
        <w:spacing w:before="0" w:after="0" w:line="360" w:lineRule="auto"/>
        <w:rPr>
          <w:sz w:val="32"/>
          <w:szCs w:val="24"/>
        </w:rPr>
      </w:pPr>
      <w:r>
        <w:rPr>
          <w:sz w:val="32"/>
          <w:szCs w:val="24"/>
        </w:rPr>
        <w:t>Background information</w:t>
      </w:r>
    </w:p>
    <w:p w14:paraId="6153D0E3" w14:textId="77777777" w:rsidR="00C37271" w:rsidRDefault="00000000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ab/>
        <w:t xml:space="preserve">Data time: </w:t>
      </w:r>
      <w:r>
        <w:rPr>
          <w:rFonts w:ascii="Times New Roman" w:eastAsia="宋体" w:hAnsi="Times New Roman"/>
          <w:color w:val="FF0000"/>
          <w:sz w:val="24"/>
          <w:szCs w:val="24"/>
        </w:rPr>
        <w:t>${ct_1}</w:t>
      </w:r>
    </w:p>
    <w:p w14:paraId="67818049" w14:textId="77777777" w:rsidR="00C37271" w:rsidRDefault="00000000">
      <w:pPr>
        <w:spacing w:line="360" w:lineRule="auto"/>
        <w:rPr>
          <w:rFonts w:ascii="Times New Roman" w:eastAsia="宋体" w:hAnsi="Times New Roman"/>
          <w:color w:val="FF0000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ab/>
        <w:t xml:space="preserve">Evaluation area: </w:t>
      </w:r>
      <w:r>
        <w:rPr>
          <w:rFonts w:ascii="Times New Roman" w:eastAsia="宋体" w:hAnsi="Times New Roman"/>
          <w:color w:val="FF0000"/>
          <w:sz w:val="24"/>
          <w:szCs w:val="24"/>
        </w:rPr>
        <w:t>${ct_2}</w:t>
      </w:r>
    </w:p>
    <w:p w14:paraId="6E2358F8" w14:textId="77777777" w:rsidR="00C37271" w:rsidRDefault="00000000">
      <w:pPr>
        <w:pStyle w:val="1"/>
        <w:numPr>
          <w:ilvl w:val="0"/>
          <w:numId w:val="1"/>
        </w:numPr>
        <w:spacing w:before="0" w:after="0" w:line="360" w:lineRule="auto"/>
        <w:rPr>
          <w:sz w:val="32"/>
          <w:szCs w:val="24"/>
        </w:rPr>
      </w:pPr>
      <w:r>
        <w:rPr>
          <w:rFonts w:hint="eastAsia"/>
          <w:sz w:val="32"/>
          <w:szCs w:val="24"/>
        </w:rPr>
        <w:t>Results of remote sensing monitoring of seeding success rate</w:t>
      </w:r>
    </w:p>
    <w:p w14:paraId="5D1903E0" w14:textId="77777777" w:rsidR="00C37271" w:rsidRDefault="00000000">
      <w:pPr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${image_1}</w:t>
      </w:r>
    </w:p>
    <w:p w14:paraId="23B683DD" w14:textId="77777777" w:rsidR="00C37271" w:rsidRDefault="00000000">
      <w:pPr>
        <w:jc w:val="center"/>
      </w:pPr>
      <w:r>
        <w:rPr>
          <w:rFonts w:ascii="Times New Roman" w:eastAsia="宋体" w:hAnsi="Times New Roman"/>
          <w:b/>
          <w:szCs w:val="24"/>
        </w:rPr>
        <w:t>Spatial distribution data of successful seeding regions</w:t>
      </w:r>
    </w:p>
    <w:p w14:paraId="2BED86CF" w14:textId="77777777" w:rsidR="00C37271" w:rsidRDefault="00000000">
      <w:pPr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 w:hint="eastAsia"/>
          <w:color w:val="FF0000"/>
          <w:sz w:val="24"/>
          <w:szCs w:val="24"/>
        </w:rPr>
        <w:t>${image_2}</w:t>
      </w:r>
    </w:p>
    <w:p w14:paraId="52597EA7" w14:textId="77777777" w:rsidR="00C37271" w:rsidRDefault="00000000">
      <w:pPr>
        <w:jc w:val="center"/>
        <w:rPr>
          <w:rFonts w:ascii="Times New Roman" w:eastAsia="宋体" w:hAnsi="Times New Roman"/>
          <w:b/>
          <w:szCs w:val="24"/>
        </w:rPr>
      </w:pPr>
      <w:r>
        <w:rPr>
          <w:rFonts w:ascii="Times New Roman" w:eastAsia="宋体" w:hAnsi="Times New Roman"/>
          <w:b/>
          <w:szCs w:val="24"/>
        </w:rPr>
        <w:t>Spatial distribution data of seeding success rate</w:t>
      </w:r>
    </w:p>
    <w:p w14:paraId="4E5CA322" w14:textId="2AA64433" w:rsidR="00C37271" w:rsidRDefault="00000000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ab/>
      </w:r>
      <w:r>
        <w:rPr>
          <w:rFonts w:ascii="Times New Roman" w:eastAsia="宋体" w:hAnsi="Times New Roman"/>
          <w:color w:val="FF0000"/>
          <w:sz w:val="24"/>
          <w:szCs w:val="24"/>
        </w:rPr>
        <w:t>${ct_3}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 xml:space="preserve">The total planting area in </w:t>
      </w:r>
      <w:r>
        <w:rPr>
          <w:rFonts w:ascii="Times New Roman" w:eastAsia="宋体" w:hAnsi="Times New Roman"/>
          <w:color w:val="FF0000"/>
          <w:sz w:val="24"/>
          <w:szCs w:val="24"/>
        </w:rPr>
        <w:t>${ct_4}</w:t>
      </w:r>
      <w:r>
        <w:rPr>
          <w:rFonts w:ascii="Times New Roman" w:eastAsia="宋体" w:hAnsi="Times New Roman" w:hint="eastAsia"/>
          <w:sz w:val="24"/>
          <w:szCs w:val="24"/>
        </w:rPr>
        <w:t xml:space="preserve"> area was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${ct_5}</w:t>
      </w:r>
      <w:r>
        <w:rPr>
          <w:rFonts w:ascii="Times New Roman" w:eastAsia="宋体" w:hAnsi="Times New Roman" w:hint="eastAsia"/>
          <w:sz w:val="24"/>
          <w:szCs w:val="24"/>
        </w:rPr>
        <w:t xml:space="preserve"> hm</w:t>
      </w:r>
      <w:r>
        <w:rPr>
          <w:rFonts w:ascii="Times New Roman" w:eastAsia="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 xml:space="preserve">, the vegetation survival area was </w:t>
      </w:r>
      <w:r>
        <w:rPr>
          <w:rFonts w:ascii="Times New Roman" w:eastAsia="宋体" w:hAnsi="Times New Roman"/>
          <w:color w:val="FF0000"/>
          <w:sz w:val="24"/>
          <w:szCs w:val="24"/>
        </w:rPr>
        <w:t>${ct_6}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hm</w:t>
      </w:r>
      <w:r>
        <w:rPr>
          <w:rFonts w:ascii="Times New Roman" w:eastAsia="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, and the seeding success rate was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${ct_7}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%.</w:t>
      </w:r>
    </w:p>
    <w:p w14:paraId="52EB40B8" w14:textId="77777777" w:rsidR="00C37271" w:rsidRDefault="00000000">
      <w:pPr>
        <w:pStyle w:val="1"/>
        <w:numPr>
          <w:ilvl w:val="0"/>
          <w:numId w:val="1"/>
        </w:numPr>
        <w:spacing w:before="0" w:after="0" w:line="360" w:lineRule="auto"/>
        <w:rPr>
          <w:sz w:val="32"/>
          <w:szCs w:val="24"/>
        </w:rPr>
      </w:pPr>
      <w:r>
        <w:rPr>
          <w:rFonts w:hint="eastAsia"/>
          <w:sz w:val="32"/>
          <w:szCs w:val="24"/>
        </w:rPr>
        <w:t>Results of remote sensing monitoring of vegetation health</w:t>
      </w:r>
    </w:p>
    <w:p w14:paraId="261EA5DE" w14:textId="77777777" w:rsidR="00C37271" w:rsidRDefault="00000000">
      <w:pPr>
        <w:pStyle w:val="2"/>
        <w:numPr>
          <w:ilvl w:val="1"/>
          <w:numId w:val="1"/>
        </w:numPr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Monitoring results of medium resolution data</w:t>
      </w:r>
    </w:p>
    <w:p w14:paraId="00CDF305" w14:textId="77777777" w:rsidR="00C37271" w:rsidRDefault="00000000">
      <w:pPr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 w:hint="eastAsia"/>
          <w:color w:val="FF0000"/>
          <w:sz w:val="24"/>
          <w:szCs w:val="24"/>
        </w:rPr>
        <w:t>${image_3}</w:t>
      </w:r>
    </w:p>
    <w:p w14:paraId="77F0B139" w14:textId="77777777" w:rsidR="00C37271" w:rsidRDefault="00000000">
      <w:pPr>
        <w:jc w:val="center"/>
      </w:pPr>
      <w:r>
        <w:rPr>
          <w:rFonts w:ascii="Times New Roman" w:eastAsia="宋体" w:hAnsi="Times New Roman"/>
          <w:b/>
          <w:szCs w:val="24"/>
        </w:rPr>
        <w:t xml:space="preserve">Spatial distribution data of vegetation </w:t>
      </w:r>
      <w:r>
        <w:rPr>
          <w:rFonts w:ascii="Times New Roman" w:eastAsia="宋体" w:hAnsi="Times New Roman" w:hint="eastAsia"/>
          <w:b/>
          <w:szCs w:val="24"/>
        </w:rPr>
        <w:t>planting</w:t>
      </w:r>
      <w:r>
        <w:rPr>
          <w:rFonts w:ascii="Times New Roman" w:eastAsia="宋体" w:hAnsi="Times New Roman"/>
          <w:b/>
          <w:szCs w:val="24"/>
        </w:rPr>
        <w:t xml:space="preserve"> area</w:t>
      </w:r>
    </w:p>
    <w:p w14:paraId="67CBD091" w14:textId="77777777" w:rsidR="00C37271" w:rsidRDefault="00000000">
      <w:pPr>
        <w:spacing w:line="360" w:lineRule="auto"/>
        <w:jc w:val="center"/>
        <w:rPr>
          <w:rFonts w:ascii="Times New Roman" w:eastAsia="宋体" w:hAnsi="Times New Roman"/>
          <w:b/>
          <w:color w:val="FF0000"/>
          <w:sz w:val="24"/>
          <w:szCs w:val="24"/>
        </w:rPr>
      </w:pPr>
      <w:r>
        <w:rPr>
          <w:rFonts w:ascii="Times New Roman" w:hAnsi="Times New Roman" w:hint="eastAsia"/>
          <w:color w:val="FF0000"/>
          <w:sz w:val="24"/>
          <w:szCs w:val="24"/>
        </w:rPr>
        <w:t>${image_4}</w:t>
      </w:r>
    </w:p>
    <w:p w14:paraId="110D2F9B" w14:textId="77777777" w:rsidR="00C37271" w:rsidRDefault="00000000">
      <w:pPr>
        <w:spacing w:line="360" w:lineRule="auto"/>
        <w:jc w:val="center"/>
        <w:rPr>
          <w:rFonts w:ascii="Times New Roman" w:eastAsia="宋体" w:hAnsi="Times New Roman"/>
          <w:b/>
          <w:szCs w:val="24"/>
        </w:rPr>
      </w:pPr>
      <w:r>
        <w:rPr>
          <w:rFonts w:ascii="Times New Roman" w:eastAsia="宋体" w:hAnsi="Times New Roman"/>
          <w:b/>
          <w:szCs w:val="24"/>
        </w:rPr>
        <w:t>Spatial distribution data of vegetation health status</w:t>
      </w:r>
    </w:p>
    <w:p w14:paraId="41E81A7C" w14:textId="384A08B0" w:rsidR="00C37271" w:rsidRDefault="009D3D75">
      <w:pPr>
        <w:spacing w:line="360" w:lineRule="auto"/>
        <w:jc w:val="center"/>
        <w:rPr>
          <w:rFonts w:ascii="Times New Roman" w:eastAsia="宋体" w:hAnsi="Times New Roman"/>
          <w:bCs/>
          <w:color w:val="FF0000"/>
          <w:sz w:val="24"/>
          <w:szCs w:val="24"/>
        </w:rPr>
      </w:pPr>
      <w:r w:rsidRPr="00DD3F82">
        <w:rPr>
          <w:rFonts w:ascii="Times New Roman" w:eastAsia="宋体" w:hAnsi="Times New Roman"/>
          <w:b/>
          <w:noProof/>
          <w:szCs w:val="24"/>
        </w:rPr>
        <w:lastRenderedPageBreak/>
        <w:drawing>
          <wp:inline distT="0" distB="0" distL="0" distR="0" wp14:anchorId="227DD0E3" wp14:editId="7AAF75E0">
            <wp:extent cx="5270500" cy="3079750"/>
            <wp:effectExtent l="0" t="0" r="0" b="0"/>
            <wp:docPr id="3" name="图表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04CE456" w14:textId="77777777" w:rsidR="00C37271" w:rsidRDefault="00000000">
      <w:pPr>
        <w:spacing w:line="360" w:lineRule="auto"/>
        <w:jc w:val="center"/>
        <w:rPr>
          <w:rFonts w:ascii="Times New Roman" w:eastAsia="宋体" w:hAnsi="Times New Roman"/>
          <w:b/>
          <w:szCs w:val="24"/>
        </w:rPr>
      </w:pPr>
      <w:r>
        <w:rPr>
          <w:rFonts w:ascii="Times New Roman" w:eastAsia="宋体" w:hAnsi="Times New Roman"/>
          <w:b/>
          <w:szCs w:val="24"/>
        </w:rPr>
        <w:t>Statistical data on vegetation health</w:t>
      </w:r>
    </w:p>
    <w:p w14:paraId="20E07031" w14:textId="6A23C2D7" w:rsidR="00C37271" w:rsidRDefault="00000000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ab/>
      </w:r>
      <w:r>
        <w:rPr>
          <w:rFonts w:ascii="Times New Roman" w:eastAsia="宋体" w:hAnsi="Times New Roman"/>
          <w:color w:val="FF0000"/>
          <w:sz w:val="24"/>
          <w:szCs w:val="24"/>
        </w:rPr>
        <w:t>${ct_8}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Based on the monitoring results of medium resolution satellite images, the area of healthy vegetation growth in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${ct_9}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region was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${ct_10}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hm</w:t>
      </w:r>
      <w:r>
        <w:rPr>
          <w:rFonts w:ascii="Times New Roman" w:eastAsia="宋体" w:hAnsi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/>
          <w:sz w:val="24"/>
          <w:szCs w:val="24"/>
        </w:rPr>
        <w:t>, accounting for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${ct_11}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%. The area with normal vegetation growth was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${ct_12}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hm</w:t>
      </w:r>
      <w:r>
        <w:rPr>
          <w:rFonts w:ascii="Times New Roman" w:eastAsia="宋体" w:hAnsi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/>
          <w:sz w:val="24"/>
          <w:szCs w:val="24"/>
        </w:rPr>
        <w:t>, accounting for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${ct_13}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%. The area of unhealthy vegetation growth was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${ct_14}</w:t>
      </w:r>
      <w:r>
        <w:rPr>
          <w:rFonts w:ascii="Times New Roman" w:eastAsia="宋体" w:hAnsi="Times New Roman"/>
          <w:sz w:val="24"/>
          <w:szCs w:val="24"/>
        </w:rPr>
        <w:t xml:space="preserve"> hm</w:t>
      </w:r>
      <w:r>
        <w:rPr>
          <w:rFonts w:ascii="Times New Roman" w:eastAsia="宋体" w:hAnsi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/>
          <w:sz w:val="24"/>
          <w:szCs w:val="24"/>
        </w:rPr>
        <w:t xml:space="preserve">, accounting for </w:t>
      </w:r>
      <w:r>
        <w:rPr>
          <w:rFonts w:ascii="Times New Roman" w:eastAsia="宋体" w:hAnsi="Times New Roman"/>
          <w:color w:val="FF0000"/>
          <w:sz w:val="24"/>
          <w:szCs w:val="24"/>
        </w:rPr>
        <w:t>${ct_1515}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%.</w:t>
      </w:r>
    </w:p>
    <w:p w14:paraId="5D3CBD13" w14:textId="77777777" w:rsidR="00C37271" w:rsidRDefault="00000000">
      <w:pPr>
        <w:pStyle w:val="2"/>
        <w:numPr>
          <w:ilvl w:val="1"/>
          <w:numId w:val="1"/>
        </w:numPr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Monitoring results of high resolution data</w:t>
      </w:r>
    </w:p>
    <w:p w14:paraId="7E2E6FBE" w14:textId="77777777" w:rsidR="00C37271" w:rsidRDefault="00000000">
      <w:pPr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 w:hint="eastAsia"/>
          <w:color w:val="FF0000"/>
          <w:sz w:val="24"/>
          <w:szCs w:val="24"/>
        </w:rPr>
        <w:t>${image_5}</w:t>
      </w:r>
    </w:p>
    <w:p w14:paraId="5681D72A" w14:textId="77777777" w:rsidR="00C37271" w:rsidRDefault="00000000">
      <w:pPr>
        <w:jc w:val="center"/>
      </w:pPr>
      <w:r>
        <w:rPr>
          <w:rFonts w:ascii="Times New Roman" w:eastAsia="宋体" w:hAnsi="Times New Roman"/>
          <w:b/>
          <w:szCs w:val="24"/>
        </w:rPr>
        <w:t xml:space="preserve">Spatial distribution data of vegetation </w:t>
      </w:r>
      <w:r>
        <w:rPr>
          <w:rFonts w:ascii="Times New Roman" w:eastAsia="宋体" w:hAnsi="Times New Roman" w:hint="eastAsia"/>
          <w:b/>
          <w:szCs w:val="24"/>
        </w:rPr>
        <w:t>planting</w:t>
      </w:r>
      <w:r>
        <w:rPr>
          <w:rFonts w:ascii="Times New Roman" w:eastAsia="宋体" w:hAnsi="Times New Roman"/>
          <w:b/>
          <w:szCs w:val="24"/>
        </w:rPr>
        <w:t xml:space="preserve"> area</w:t>
      </w:r>
    </w:p>
    <w:p w14:paraId="4E284BEF" w14:textId="77777777" w:rsidR="00C37271" w:rsidRDefault="00C37271">
      <w:pPr>
        <w:jc w:val="center"/>
      </w:pPr>
    </w:p>
    <w:p w14:paraId="7AF5FC51" w14:textId="77777777" w:rsidR="00C37271" w:rsidRDefault="00000000">
      <w:pPr>
        <w:spacing w:line="360" w:lineRule="auto"/>
        <w:jc w:val="center"/>
        <w:rPr>
          <w:rFonts w:ascii="Times New Roman" w:eastAsia="宋体" w:hAnsi="Times New Roman"/>
          <w:bCs/>
          <w:color w:val="FF0000"/>
          <w:sz w:val="24"/>
          <w:szCs w:val="24"/>
        </w:rPr>
      </w:pPr>
      <w:r>
        <w:rPr>
          <w:rFonts w:ascii="Times New Roman" w:eastAsia="宋体" w:hAnsi="Times New Roman" w:hint="eastAsia"/>
          <w:bCs/>
          <w:color w:val="FF0000"/>
          <w:sz w:val="24"/>
          <w:szCs w:val="24"/>
        </w:rPr>
        <w:t>${image_6}</w:t>
      </w:r>
    </w:p>
    <w:p w14:paraId="49DDB03A" w14:textId="77777777" w:rsidR="00C37271" w:rsidRDefault="00000000">
      <w:pPr>
        <w:jc w:val="center"/>
      </w:pPr>
      <w:r>
        <w:rPr>
          <w:rFonts w:ascii="Times New Roman" w:eastAsia="宋体" w:hAnsi="Times New Roman"/>
          <w:b/>
          <w:szCs w:val="24"/>
        </w:rPr>
        <w:t>Spatial distribution data of vegetation health status</w:t>
      </w:r>
    </w:p>
    <w:p w14:paraId="58BE8433" w14:textId="507C640D" w:rsidR="00C37271" w:rsidRDefault="009D3D75">
      <w:pPr>
        <w:spacing w:line="360" w:lineRule="auto"/>
        <w:jc w:val="center"/>
        <w:rPr>
          <w:rFonts w:ascii="Times New Roman" w:eastAsia="宋体" w:hAnsi="Times New Roman"/>
          <w:b/>
          <w:szCs w:val="24"/>
        </w:rPr>
      </w:pPr>
      <w:r w:rsidRPr="00DD3F82">
        <w:rPr>
          <w:rFonts w:ascii="Times New Roman" w:eastAsia="宋体" w:hAnsi="Times New Roman"/>
          <w:b/>
          <w:noProof/>
          <w:szCs w:val="24"/>
        </w:rPr>
        <w:lastRenderedPageBreak/>
        <w:drawing>
          <wp:inline distT="0" distB="0" distL="0" distR="0" wp14:anchorId="25FD79AF" wp14:editId="438E987A">
            <wp:extent cx="5270500" cy="3079750"/>
            <wp:effectExtent l="0" t="0" r="0" b="0"/>
            <wp:docPr id="2" name="图表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FE27E48" w14:textId="77777777" w:rsidR="00C37271" w:rsidRDefault="00000000">
      <w:pPr>
        <w:spacing w:line="360" w:lineRule="auto"/>
        <w:jc w:val="center"/>
        <w:rPr>
          <w:rFonts w:ascii="Times New Roman" w:eastAsia="宋体" w:hAnsi="Times New Roman"/>
          <w:b/>
          <w:szCs w:val="24"/>
        </w:rPr>
      </w:pPr>
      <w:r>
        <w:rPr>
          <w:rFonts w:ascii="Times New Roman" w:eastAsia="宋体" w:hAnsi="Times New Roman"/>
          <w:b/>
          <w:szCs w:val="24"/>
        </w:rPr>
        <w:t>Statistical data on vegetation health</w:t>
      </w:r>
    </w:p>
    <w:p w14:paraId="4F135D42" w14:textId="3F9D4BAB" w:rsidR="00C37271" w:rsidRDefault="00000000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ab/>
      </w:r>
      <w:r>
        <w:rPr>
          <w:rFonts w:ascii="Times New Roman" w:eastAsia="宋体" w:hAnsi="Times New Roman"/>
          <w:color w:val="FF0000"/>
          <w:sz w:val="24"/>
          <w:szCs w:val="24"/>
        </w:rPr>
        <w:t>${ct_16}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Based on the monitoring results of high resolution satellite images, the area of healthy vegetation growth in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${ct_17}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region was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${ct_18}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hm</w:t>
      </w:r>
      <w:r>
        <w:rPr>
          <w:rFonts w:ascii="Times New Roman" w:eastAsia="宋体" w:hAnsi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/>
          <w:sz w:val="24"/>
          <w:szCs w:val="24"/>
        </w:rPr>
        <w:t>, accounting for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${ct_19}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%. The area with normal vegetation growth was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${ct_20}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hm</w:t>
      </w:r>
      <w:r>
        <w:rPr>
          <w:rFonts w:ascii="Times New Roman" w:eastAsia="宋体" w:hAnsi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/>
          <w:sz w:val="24"/>
          <w:szCs w:val="24"/>
        </w:rPr>
        <w:t>, accounting for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${ct_21}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%. The area of unhealthy vegetation growth was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${ct_22}</w:t>
      </w:r>
      <w:r>
        <w:rPr>
          <w:rFonts w:ascii="Times New Roman" w:eastAsia="宋体" w:hAnsi="Times New Roman"/>
          <w:sz w:val="24"/>
          <w:szCs w:val="24"/>
        </w:rPr>
        <w:t xml:space="preserve"> hm</w:t>
      </w:r>
      <w:r>
        <w:rPr>
          <w:rFonts w:ascii="Times New Roman" w:eastAsia="宋体" w:hAnsi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/>
          <w:sz w:val="24"/>
          <w:szCs w:val="24"/>
        </w:rPr>
        <w:t>, accounting for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${ct_23}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%.</w:t>
      </w:r>
    </w:p>
    <w:p w14:paraId="34ED834C" w14:textId="77777777" w:rsidR="00C37271" w:rsidRDefault="00C37271">
      <w:pPr>
        <w:spacing w:line="360" w:lineRule="auto"/>
        <w:jc w:val="left"/>
        <w:rPr>
          <w:rFonts w:ascii="Times New Roman" w:eastAsia="宋体" w:hAnsi="Times New Roman"/>
          <w:b/>
          <w:szCs w:val="24"/>
        </w:rPr>
      </w:pPr>
    </w:p>
    <w:p w14:paraId="16D2B7AE" w14:textId="77777777" w:rsidR="00C37271" w:rsidRDefault="00000000">
      <w:pPr>
        <w:pStyle w:val="1"/>
        <w:numPr>
          <w:ilvl w:val="0"/>
          <w:numId w:val="1"/>
        </w:numPr>
        <w:spacing w:before="0" w:after="0" w:line="360" w:lineRule="auto"/>
        <w:rPr>
          <w:sz w:val="32"/>
          <w:szCs w:val="24"/>
        </w:rPr>
      </w:pPr>
      <w:r>
        <w:rPr>
          <w:sz w:val="32"/>
          <w:szCs w:val="24"/>
        </w:rPr>
        <w:t>Results of remote sensing monitoring of planting suitability</w:t>
      </w:r>
    </w:p>
    <w:p w14:paraId="2CDD431D" w14:textId="77777777" w:rsidR="00C37271" w:rsidRDefault="00000000">
      <w:pPr>
        <w:spacing w:line="360" w:lineRule="auto"/>
        <w:jc w:val="center"/>
        <w:rPr>
          <w:rFonts w:ascii="Times New Roman" w:eastAsia="宋体" w:hAnsi="Times New Roman"/>
          <w:b/>
          <w:color w:val="FF0000"/>
          <w:sz w:val="24"/>
          <w:szCs w:val="24"/>
        </w:rPr>
      </w:pPr>
      <w:r>
        <w:rPr>
          <w:rFonts w:ascii="Times New Roman" w:hAnsi="Times New Roman" w:hint="eastAsia"/>
          <w:color w:val="FF0000"/>
          <w:sz w:val="24"/>
          <w:szCs w:val="24"/>
        </w:rPr>
        <w:t>${image_7}</w:t>
      </w:r>
    </w:p>
    <w:p w14:paraId="3F646C27" w14:textId="77777777" w:rsidR="00C37271" w:rsidRDefault="00000000">
      <w:pPr>
        <w:spacing w:line="360" w:lineRule="auto"/>
        <w:jc w:val="center"/>
        <w:rPr>
          <w:rFonts w:ascii="Times New Roman" w:eastAsia="宋体" w:hAnsi="Times New Roman"/>
          <w:b/>
          <w:szCs w:val="24"/>
        </w:rPr>
      </w:pPr>
      <w:r>
        <w:rPr>
          <w:rFonts w:ascii="Times New Roman" w:eastAsia="宋体" w:hAnsi="Times New Roman"/>
          <w:b/>
          <w:szCs w:val="24"/>
        </w:rPr>
        <w:t>Spatial distribution data of planting suitability</w:t>
      </w:r>
    </w:p>
    <w:p w14:paraId="0A95EBFD" w14:textId="73682576" w:rsidR="00C37271" w:rsidRDefault="009D3D75">
      <w:pPr>
        <w:spacing w:line="360" w:lineRule="auto"/>
        <w:jc w:val="center"/>
        <w:rPr>
          <w:rFonts w:ascii="Times New Roman" w:eastAsia="宋体" w:hAnsi="Times New Roman"/>
          <w:bCs/>
          <w:color w:val="FF0000"/>
          <w:sz w:val="24"/>
          <w:szCs w:val="24"/>
        </w:rPr>
      </w:pPr>
      <w:r w:rsidRPr="00DD3F82">
        <w:rPr>
          <w:rFonts w:ascii="Times New Roman" w:eastAsia="宋体" w:hAnsi="Times New Roman"/>
          <w:b/>
          <w:noProof/>
          <w:szCs w:val="24"/>
        </w:rPr>
        <w:lastRenderedPageBreak/>
        <w:drawing>
          <wp:inline distT="0" distB="0" distL="0" distR="0" wp14:anchorId="166442EE" wp14:editId="34A9DBF5">
            <wp:extent cx="5270500" cy="3079750"/>
            <wp:effectExtent l="0" t="0" r="0" b="0"/>
            <wp:docPr id="1" name="图表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48AF7E4" w14:textId="77777777" w:rsidR="00C37271" w:rsidRDefault="00000000">
      <w:pPr>
        <w:spacing w:line="360" w:lineRule="auto"/>
        <w:jc w:val="center"/>
        <w:rPr>
          <w:rFonts w:ascii="Times New Roman" w:eastAsia="宋体" w:hAnsi="Times New Roman"/>
          <w:b/>
          <w:szCs w:val="24"/>
        </w:rPr>
      </w:pPr>
      <w:r>
        <w:rPr>
          <w:rFonts w:ascii="Times New Roman" w:eastAsia="宋体" w:hAnsi="Times New Roman"/>
          <w:b/>
          <w:szCs w:val="24"/>
        </w:rPr>
        <w:t>Classification statistics of planting suitability</w:t>
      </w:r>
    </w:p>
    <w:p w14:paraId="5254BB65" w14:textId="4C0953EB" w:rsidR="00C37271" w:rsidRDefault="00000000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color w:val="FF0000"/>
          <w:sz w:val="24"/>
          <w:szCs w:val="24"/>
        </w:rPr>
        <w:tab/>
      </w:r>
      <w:r>
        <w:rPr>
          <w:rFonts w:ascii="Times New Roman" w:eastAsia="宋体" w:hAnsi="Times New Roman"/>
          <w:sz w:val="24"/>
          <w:szCs w:val="24"/>
        </w:rPr>
        <w:t>In 01 region, the area of very suitable region was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 xml:space="preserve">${ct_24} </w:t>
      </w:r>
      <w:r>
        <w:rPr>
          <w:rFonts w:ascii="Times New Roman" w:eastAsia="宋体" w:hAnsi="Times New Roman"/>
          <w:sz w:val="24"/>
          <w:szCs w:val="24"/>
        </w:rPr>
        <w:t>hm</w:t>
      </w:r>
      <w:r>
        <w:rPr>
          <w:rFonts w:ascii="Times New Roman" w:eastAsia="宋体" w:hAnsi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/>
          <w:sz w:val="24"/>
          <w:szCs w:val="24"/>
        </w:rPr>
        <w:t xml:space="preserve">, accounting for </w:t>
      </w:r>
      <w:r>
        <w:rPr>
          <w:rFonts w:ascii="Times New Roman" w:eastAsia="宋体" w:hAnsi="Times New Roman"/>
          <w:color w:val="FF0000"/>
          <w:sz w:val="24"/>
          <w:szCs w:val="24"/>
        </w:rPr>
        <w:t>${ct_25}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 xml:space="preserve">%. The area of suitable grade was </w:t>
      </w:r>
      <w:r>
        <w:rPr>
          <w:rFonts w:ascii="Times New Roman" w:eastAsia="宋体" w:hAnsi="Times New Roman"/>
          <w:color w:val="FF0000"/>
          <w:sz w:val="24"/>
          <w:szCs w:val="24"/>
        </w:rPr>
        <w:t>${ct_26}</w:t>
      </w:r>
      <w:r>
        <w:rPr>
          <w:rFonts w:ascii="Times New Roman" w:eastAsia="宋体" w:hAnsi="Times New Roman"/>
          <w:sz w:val="24"/>
          <w:szCs w:val="24"/>
        </w:rPr>
        <w:t xml:space="preserve"> hm</w:t>
      </w:r>
      <w:r>
        <w:rPr>
          <w:rFonts w:ascii="Times New Roman" w:eastAsia="宋体" w:hAnsi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/>
          <w:sz w:val="24"/>
          <w:szCs w:val="24"/>
        </w:rPr>
        <w:t>, accounting for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${ct_27}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%. The area of unsuitable area was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${ct_28}</w:t>
      </w:r>
      <w:r>
        <w:rPr>
          <w:rFonts w:ascii="Times New Roman" w:eastAsia="宋体" w:hAnsi="Times New Roman"/>
          <w:sz w:val="24"/>
          <w:szCs w:val="24"/>
        </w:rPr>
        <w:t xml:space="preserve"> hm</w:t>
      </w:r>
      <w:r>
        <w:rPr>
          <w:rFonts w:ascii="Times New Roman" w:eastAsia="宋体" w:hAnsi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/>
          <w:sz w:val="24"/>
          <w:szCs w:val="24"/>
        </w:rPr>
        <w:t>, accounting for</w:t>
      </w:r>
      <w:r w:rsidR="00B94E38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FF0000"/>
          <w:sz w:val="24"/>
          <w:szCs w:val="24"/>
        </w:rPr>
        <w:t>${ct_29}</w:t>
      </w:r>
      <w:r w:rsidR="00B94E38">
        <w:rPr>
          <w:rFonts w:ascii="Times New Roman" w:eastAsia="宋体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%.</w:t>
      </w:r>
    </w:p>
    <w:sectPr w:rsidR="00C37271" w:rsidSect="002A6B7C">
      <w:pgSz w:w="11906" w:h="16838"/>
      <w:pgMar w:top="1418" w:right="1701" w:bottom="1418" w:left="170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88CF3" w14:textId="77777777" w:rsidR="00C15F30" w:rsidRDefault="00C15F30" w:rsidP="003A20BB">
      <w:r>
        <w:separator/>
      </w:r>
    </w:p>
  </w:endnote>
  <w:endnote w:type="continuationSeparator" w:id="0">
    <w:p w14:paraId="09B012C6" w14:textId="77777777" w:rsidR="00C15F30" w:rsidRDefault="00C15F30" w:rsidP="003A2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10E2F" w14:textId="77777777" w:rsidR="00C15F30" w:rsidRDefault="00C15F30" w:rsidP="003A20BB">
      <w:r>
        <w:separator/>
      </w:r>
    </w:p>
  </w:footnote>
  <w:footnote w:type="continuationSeparator" w:id="0">
    <w:p w14:paraId="70A9ECD9" w14:textId="77777777" w:rsidR="00C15F30" w:rsidRDefault="00C15F30" w:rsidP="003A2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5C5"/>
    <w:multiLevelType w:val="multilevel"/>
    <w:tmpl w:val="156155C5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1036151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E4E"/>
    <w:rsid w:val="000029C0"/>
    <w:rsid w:val="00011B65"/>
    <w:rsid w:val="00020E4E"/>
    <w:rsid w:val="0004470F"/>
    <w:rsid w:val="00044DCC"/>
    <w:rsid w:val="00056A66"/>
    <w:rsid w:val="00056D31"/>
    <w:rsid w:val="00065E5D"/>
    <w:rsid w:val="00071673"/>
    <w:rsid w:val="00072453"/>
    <w:rsid w:val="00081AB5"/>
    <w:rsid w:val="00090E61"/>
    <w:rsid w:val="000A7D35"/>
    <w:rsid w:val="000B7D36"/>
    <w:rsid w:val="000C1711"/>
    <w:rsid w:val="000C79E1"/>
    <w:rsid w:val="000D1C92"/>
    <w:rsid w:val="000D51BB"/>
    <w:rsid w:val="000E50F6"/>
    <w:rsid w:val="000F5E28"/>
    <w:rsid w:val="000F7830"/>
    <w:rsid w:val="00104ECB"/>
    <w:rsid w:val="00114DF9"/>
    <w:rsid w:val="00115CC7"/>
    <w:rsid w:val="0012243A"/>
    <w:rsid w:val="00123AAB"/>
    <w:rsid w:val="00126F28"/>
    <w:rsid w:val="001364AB"/>
    <w:rsid w:val="00137ABA"/>
    <w:rsid w:val="00141576"/>
    <w:rsid w:val="00154410"/>
    <w:rsid w:val="001601F7"/>
    <w:rsid w:val="00167963"/>
    <w:rsid w:val="001826A8"/>
    <w:rsid w:val="001948E5"/>
    <w:rsid w:val="001A0CCD"/>
    <w:rsid w:val="001B3E1A"/>
    <w:rsid w:val="001B71F2"/>
    <w:rsid w:val="001C0EEE"/>
    <w:rsid w:val="001C6EEA"/>
    <w:rsid w:val="001D306C"/>
    <w:rsid w:val="001F20A7"/>
    <w:rsid w:val="001F455F"/>
    <w:rsid w:val="002428F8"/>
    <w:rsid w:val="00245B7C"/>
    <w:rsid w:val="00246E20"/>
    <w:rsid w:val="0025102A"/>
    <w:rsid w:val="002546C2"/>
    <w:rsid w:val="00271409"/>
    <w:rsid w:val="00276AA0"/>
    <w:rsid w:val="00282300"/>
    <w:rsid w:val="002847A1"/>
    <w:rsid w:val="002A6B7C"/>
    <w:rsid w:val="002B0B8B"/>
    <w:rsid w:val="002D5B4C"/>
    <w:rsid w:val="002E4107"/>
    <w:rsid w:val="002E5AC1"/>
    <w:rsid w:val="002E6632"/>
    <w:rsid w:val="002E6AD3"/>
    <w:rsid w:val="002F7890"/>
    <w:rsid w:val="00302BF9"/>
    <w:rsid w:val="00302C8D"/>
    <w:rsid w:val="00303829"/>
    <w:rsid w:val="003060A2"/>
    <w:rsid w:val="0031380B"/>
    <w:rsid w:val="00317D45"/>
    <w:rsid w:val="00321FD0"/>
    <w:rsid w:val="00325460"/>
    <w:rsid w:val="003447C5"/>
    <w:rsid w:val="00357EEA"/>
    <w:rsid w:val="003642F8"/>
    <w:rsid w:val="0038195F"/>
    <w:rsid w:val="00394067"/>
    <w:rsid w:val="003967ED"/>
    <w:rsid w:val="003979FE"/>
    <w:rsid w:val="003A18CA"/>
    <w:rsid w:val="003A20BB"/>
    <w:rsid w:val="003A3016"/>
    <w:rsid w:val="003A74EF"/>
    <w:rsid w:val="003B2243"/>
    <w:rsid w:val="003D26C6"/>
    <w:rsid w:val="003F0AAE"/>
    <w:rsid w:val="003F3010"/>
    <w:rsid w:val="0045503F"/>
    <w:rsid w:val="0046156C"/>
    <w:rsid w:val="004652AE"/>
    <w:rsid w:val="00466AC3"/>
    <w:rsid w:val="00475C64"/>
    <w:rsid w:val="00494E77"/>
    <w:rsid w:val="004973C4"/>
    <w:rsid w:val="004A1332"/>
    <w:rsid w:val="004A5C86"/>
    <w:rsid w:val="004D067C"/>
    <w:rsid w:val="004D519B"/>
    <w:rsid w:val="004E0FD2"/>
    <w:rsid w:val="004E0FE9"/>
    <w:rsid w:val="004F029D"/>
    <w:rsid w:val="004F3453"/>
    <w:rsid w:val="004F49B6"/>
    <w:rsid w:val="0050136A"/>
    <w:rsid w:val="005149F3"/>
    <w:rsid w:val="00531029"/>
    <w:rsid w:val="00545F07"/>
    <w:rsid w:val="00570E39"/>
    <w:rsid w:val="00590492"/>
    <w:rsid w:val="00591BC6"/>
    <w:rsid w:val="0059761B"/>
    <w:rsid w:val="005A7A68"/>
    <w:rsid w:val="005B598D"/>
    <w:rsid w:val="005B62E3"/>
    <w:rsid w:val="005C2622"/>
    <w:rsid w:val="005C3CEC"/>
    <w:rsid w:val="005D6083"/>
    <w:rsid w:val="005E3F76"/>
    <w:rsid w:val="005F07D4"/>
    <w:rsid w:val="006020B2"/>
    <w:rsid w:val="0060347F"/>
    <w:rsid w:val="00610CD4"/>
    <w:rsid w:val="0062140D"/>
    <w:rsid w:val="00624AF0"/>
    <w:rsid w:val="0062668A"/>
    <w:rsid w:val="00632286"/>
    <w:rsid w:val="006616F8"/>
    <w:rsid w:val="00667752"/>
    <w:rsid w:val="00670404"/>
    <w:rsid w:val="006753B6"/>
    <w:rsid w:val="006818CF"/>
    <w:rsid w:val="00681FBB"/>
    <w:rsid w:val="00684F6D"/>
    <w:rsid w:val="00690ED7"/>
    <w:rsid w:val="006A2865"/>
    <w:rsid w:val="006B2CA1"/>
    <w:rsid w:val="006B4C88"/>
    <w:rsid w:val="006C1FCF"/>
    <w:rsid w:val="006C3682"/>
    <w:rsid w:val="006C3A96"/>
    <w:rsid w:val="006D070B"/>
    <w:rsid w:val="006D7142"/>
    <w:rsid w:val="006D7198"/>
    <w:rsid w:val="006E25B1"/>
    <w:rsid w:val="006E4EC1"/>
    <w:rsid w:val="006F2945"/>
    <w:rsid w:val="006F2B27"/>
    <w:rsid w:val="006F4A59"/>
    <w:rsid w:val="006F623C"/>
    <w:rsid w:val="006F6B79"/>
    <w:rsid w:val="00703AD9"/>
    <w:rsid w:val="00706637"/>
    <w:rsid w:val="00710BB7"/>
    <w:rsid w:val="0072096E"/>
    <w:rsid w:val="00726B36"/>
    <w:rsid w:val="00732F96"/>
    <w:rsid w:val="0074445B"/>
    <w:rsid w:val="0075392D"/>
    <w:rsid w:val="00754CA2"/>
    <w:rsid w:val="00764535"/>
    <w:rsid w:val="00770310"/>
    <w:rsid w:val="00796603"/>
    <w:rsid w:val="00797829"/>
    <w:rsid w:val="007A0753"/>
    <w:rsid w:val="007B0760"/>
    <w:rsid w:val="007B622A"/>
    <w:rsid w:val="007B6857"/>
    <w:rsid w:val="007C665E"/>
    <w:rsid w:val="007D0AF8"/>
    <w:rsid w:val="007D0C1B"/>
    <w:rsid w:val="007D7B65"/>
    <w:rsid w:val="007E552A"/>
    <w:rsid w:val="007E59CD"/>
    <w:rsid w:val="007F050D"/>
    <w:rsid w:val="007F2A55"/>
    <w:rsid w:val="007F2CF3"/>
    <w:rsid w:val="007F5A00"/>
    <w:rsid w:val="007F7A1D"/>
    <w:rsid w:val="00810160"/>
    <w:rsid w:val="00812554"/>
    <w:rsid w:val="00820EB6"/>
    <w:rsid w:val="008364BF"/>
    <w:rsid w:val="008413A6"/>
    <w:rsid w:val="008742A9"/>
    <w:rsid w:val="00881E9C"/>
    <w:rsid w:val="00886127"/>
    <w:rsid w:val="00891A4F"/>
    <w:rsid w:val="00893D3F"/>
    <w:rsid w:val="0089540D"/>
    <w:rsid w:val="008A6F62"/>
    <w:rsid w:val="008B2DEC"/>
    <w:rsid w:val="008B453D"/>
    <w:rsid w:val="008C27A7"/>
    <w:rsid w:val="008C55A5"/>
    <w:rsid w:val="008C7225"/>
    <w:rsid w:val="008D143F"/>
    <w:rsid w:val="008D1970"/>
    <w:rsid w:val="008D43EB"/>
    <w:rsid w:val="008E126B"/>
    <w:rsid w:val="008E7431"/>
    <w:rsid w:val="008F39C5"/>
    <w:rsid w:val="008F716A"/>
    <w:rsid w:val="00907ACD"/>
    <w:rsid w:val="0091220D"/>
    <w:rsid w:val="00921CD3"/>
    <w:rsid w:val="00927FFB"/>
    <w:rsid w:val="009355F9"/>
    <w:rsid w:val="0094621C"/>
    <w:rsid w:val="009524F8"/>
    <w:rsid w:val="009865EB"/>
    <w:rsid w:val="00987015"/>
    <w:rsid w:val="009A029A"/>
    <w:rsid w:val="009A7540"/>
    <w:rsid w:val="009B0882"/>
    <w:rsid w:val="009B2054"/>
    <w:rsid w:val="009B45CE"/>
    <w:rsid w:val="009C16D0"/>
    <w:rsid w:val="009C37D2"/>
    <w:rsid w:val="009D07F9"/>
    <w:rsid w:val="009D3D75"/>
    <w:rsid w:val="009D4E47"/>
    <w:rsid w:val="009E20FE"/>
    <w:rsid w:val="009E482F"/>
    <w:rsid w:val="009E548B"/>
    <w:rsid w:val="009E72CE"/>
    <w:rsid w:val="009F508E"/>
    <w:rsid w:val="009F5471"/>
    <w:rsid w:val="00A14BD0"/>
    <w:rsid w:val="00A1516C"/>
    <w:rsid w:val="00A164BA"/>
    <w:rsid w:val="00A23BC7"/>
    <w:rsid w:val="00A26E2E"/>
    <w:rsid w:val="00A2783A"/>
    <w:rsid w:val="00A4006C"/>
    <w:rsid w:val="00A42F39"/>
    <w:rsid w:val="00A43771"/>
    <w:rsid w:val="00A441E4"/>
    <w:rsid w:val="00A5358D"/>
    <w:rsid w:val="00A56C80"/>
    <w:rsid w:val="00A57D7D"/>
    <w:rsid w:val="00A6075D"/>
    <w:rsid w:val="00A743A1"/>
    <w:rsid w:val="00A860F7"/>
    <w:rsid w:val="00AA2525"/>
    <w:rsid w:val="00AB0D9E"/>
    <w:rsid w:val="00AB2F41"/>
    <w:rsid w:val="00AD59ED"/>
    <w:rsid w:val="00AE5635"/>
    <w:rsid w:val="00AE6C9A"/>
    <w:rsid w:val="00AF05FC"/>
    <w:rsid w:val="00AF3606"/>
    <w:rsid w:val="00AF7B51"/>
    <w:rsid w:val="00B07027"/>
    <w:rsid w:val="00B21397"/>
    <w:rsid w:val="00B23886"/>
    <w:rsid w:val="00B2650D"/>
    <w:rsid w:val="00B32F75"/>
    <w:rsid w:val="00B35A88"/>
    <w:rsid w:val="00B3708C"/>
    <w:rsid w:val="00B4292D"/>
    <w:rsid w:val="00B51EC2"/>
    <w:rsid w:val="00B65D75"/>
    <w:rsid w:val="00B66945"/>
    <w:rsid w:val="00B67CE6"/>
    <w:rsid w:val="00B7327A"/>
    <w:rsid w:val="00B80F3A"/>
    <w:rsid w:val="00B85562"/>
    <w:rsid w:val="00B85CE8"/>
    <w:rsid w:val="00B94E38"/>
    <w:rsid w:val="00B9582F"/>
    <w:rsid w:val="00B97435"/>
    <w:rsid w:val="00BA17EF"/>
    <w:rsid w:val="00BA1D64"/>
    <w:rsid w:val="00BC40C1"/>
    <w:rsid w:val="00BC4401"/>
    <w:rsid w:val="00BC5478"/>
    <w:rsid w:val="00BD5FA4"/>
    <w:rsid w:val="00BD6F24"/>
    <w:rsid w:val="00BF4507"/>
    <w:rsid w:val="00BF6022"/>
    <w:rsid w:val="00C00B3F"/>
    <w:rsid w:val="00C15BFC"/>
    <w:rsid w:val="00C15F30"/>
    <w:rsid w:val="00C20E89"/>
    <w:rsid w:val="00C3320D"/>
    <w:rsid w:val="00C37271"/>
    <w:rsid w:val="00C404FF"/>
    <w:rsid w:val="00C41CC0"/>
    <w:rsid w:val="00C42719"/>
    <w:rsid w:val="00C44FAE"/>
    <w:rsid w:val="00C51145"/>
    <w:rsid w:val="00C5762F"/>
    <w:rsid w:val="00C74A39"/>
    <w:rsid w:val="00C8045F"/>
    <w:rsid w:val="00C80501"/>
    <w:rsid w:val="00C82A34"/>
    <w:rsid w:val="00CA691F"/>
    <w:rsid w:val="00CC54B2"/>
    <w:rsid w:val="00CC5C12"/>
    <w:rsid w:val="00CD4AB5"/>
    <w:rsid w:val="00CD6F20"/>
    <w:rsid w:val="00D225AF"/>
    <w:rsid w:val="00D23429"/>
    <w:rsid w:val="00D2454A"/>
    <w:rsid w:val="00D25FD1"/>
    <w:rsid w:val="00D274EB"/>
    <w:rsid w:val="00D31EBF"/>
    <w:rsid w:val="00D44E2C"/>
    <w:rsid w:val="00D46BC5"/>
    <w:rsid w:val="00D550CA"/>
    <w:rsid w:val="00D61E61"/>
    <w:rsid w:val="00D66517"/>
    <w:rsid w:val="00DA6A32"/>
    <w:rsid w:val="00DB09AC"/>
    <w:rsid w:val="00DB42A9"/>
    <w:rsid w:val="00DD3F82"/>
    <w:rsid w:val="00DE7B34"/>
    <w:rsid w:val="00DF2C50"/>
    <w:rsid w:val="00E03E84"/>
    <w:rsid w:val="00E17573"/>
    <w:rsid w:val="00E20B16"/>
    <w:rsid w:val="00E4083B"/>
    <w:rsid w:val="00E4400B"/>
    <w:rsid w:val="00E56B67"/>
    <w:rsid w:val="00E570F5"/>
    <w:rsid w:val="00E57230"/>
    <w:rsid w:val="00E63137"/>
    <w:rsid w:val="00E669EA"/>
    <w:rsid w:val="00E75E67"/>
    <w:rsid w:val="00E8475D"/>
    <w:rsid w:val="00EA5D10"/>
    <w:rsid w:val="00EB7F36"/>
    <w:rsid w:val="00EC1CB8"/>
    <w:rsid w:val="00ED72F6"/>
    <w:rsid w:val="00F12557"/>
    <w:rsid w:val="00F21100"/>
    <w:rsid w:val="00F34116"/>
    <w:rsid w:val="00F4005C"/>
    <w:rsid w:val="00F6005B"/>
    <w:rsid w:val="00F61BF8"/>
    <w:rsid w:val="00F665B6"/>
    <w:rsid w:val="00F67F1C"/>
    <w:rsid w:val="00F7075E"/>
    <w:rsid w:val="00F83840"/>
    <w:rsid w:val="00F86214"/>
    <w:rsid w:val="00F92726"/>
    <w:rsid w:val="00F95A04"/>
    <w:rsid w:val="00FA3801"/>
    <w:rsid w:val="00FA77B3"/>
    <w:rsid w:val="00FB4177"/>
    <w:rsid w:val="00FC2949"/>
    <w:rsid w:val="00FC3102"/>
    <w:rsid w:val="00FC42FD"/>
    <w:rsid w:val="00FC4500"/>
    <w:rsid w:val="00FC7905"/>
    <w:rsid w:val="00FE3E67"/>
    <w:rsid w:val="00FE6510"/>
    <w:rsid w:val="00FF14F0"/>
    <w:rsid w:val="22A4232C"/>
    <w:rsid w:val="3CB7130D"/>
    <w:rsid w:val="609C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814A5"/>
  <w15:docId w15:val="{83FBE024-F2F1-4193-8201-155BDF2D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2A6B7C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rsid w:val="002A6B7C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2A6B7C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A6B7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A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2A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2A6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rsid w:val="002A6B7C"/>
    <w:rPr>
      <w:sz w:val="18"/>
      <w:szCs w:val="18"/>
    </w:rPr>
  </w:style>
  <w:style w:type="character" w:customStyle="1" w:styleId="a4">
    <w:name w:val="页脚 字符"/>
    <w:link w:val="a3"/>
    <w:rsid w:val="002A6B7C"/>
    <w:rPr>
      <w:sz w:val="18"/>
      <w:szCs w:val="18"/>
    </w:rPr>
  </w:style>
  <w:style w:type="paragraph" w:styleId="a8">
    <w:name w:val="List Paragraph"/>
    <w:basedOn w:val="a"/>
    <w:qFormat/>
    <w:rsid w:val="002A6B7C"/>
    <w:pPr>
      <w:ind w:firstLineChars="200" w:firstLine="420"/>
    </w:pPr>
  </w:style>
  <w:style w:type="character" w:customStyle="1" w:styleId="20">
    <w:name w:val="标题 2 字符"/>
    <w:link w:val="2"/>
    <w:rsid w:val="002A6B7C"/>
    <w:rPr>
      <w:rFonts w:ascii="等线 Light" w:eastAsia="等线 Light" w:hAnsi="等线 Light" w:cs="Times New Roman"/>
      <w:b/>
      <w:bCs/>
      <w:sz w:val="32"/>
      <w:szCs w:val="32"/>
    </w:rPr>
  </w:style>
  <w:style w:type="character" w:customStyle="1" w:styleId="30">
    <w:name w:val="标题 3 字符"/>
    <w:link w:val="3"/>
    <w:rsid w:val="002A6B7C"/>
    <w:rPr>
      <w:b/>
      <w:bCs/>
      <w:sz w:val="32"/>
      <w:szCs w:val="32"/>
    </w:rPr>
  </w:style>
  <w:style w:type="character" w:customStyle="1" w:styleId="10">
    <w:name w:val="标题 1 字符"/>
    <w:rsid w:val="002A6B7C"/>
    <w:rPr>
      <w:b/>
      <w:bCs/>
      <w:kern w:val="44"/>
      <w:sz w:val="44"/>
      <w:szCs w:val="44"/>
    </w:rPr>
  </w:style>
  <w:style w:type="character" w:customStyle="1" w:styleId="11">
    <w:name w:val="标题 1 字符1"/>
    <w:link w:val="1"/>
    <w:rsid w:val="002A6B7C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spPr>
            <a:solidFill>
              <a:srgbClr val="48D9E8"/>
            </a:solidFill>
            <a:ln w="25386">
              <a:noFill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Health</c:v>
                </c:pt>
                <c:pt idx="1">
                  <c:v>Normal</c:v>
                </c:pt>
                <c:pt idx="2">
                  <c:v>Not-Health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40.700000000000003</c:v>
                </c:pt>
                <c:pt idx="1">
                  <c:v>25.4</c:v>
                </c:pt>
                <c:pt idx="2">
                  <c:v>33.9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E3E-4F49-9742-2F336F59EC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11175135"/>
        <c:axId val="1"/>
      </c:barChart>
      <c:catAx>
        <c:axId val="151117513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12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8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1099" b="0" i="0" u="none" strike="noStrike" baseline="0">
                    <a:solidFill>
                      <a:srgbClr val="000000"/>
                    </a:solidFill>
                    <a:latin typeface="等线"/>
                    <a:ea typeface="等线"/>
                    <a:cs typeface="等线"/>
                  </a:defRPr>
                </a:pPr>
                <a:r>
                  <a:rPr lang="zh-CN" altLang="en-US" sz="994" b="0" i="0" u="none" strike="noStrike" baseline="0">
                    <a:solidFill>
                      <a:srgbClr val="333333"/>
                    </a:solidFill>
                    <a:latin typeface="Times New Roman"/>
                    <a:cs typeface="Times New Roman"/>
                  </a:rPr>
                  <a:t>Area(hm</a:t>
                </a:r>
                <a:r>
                  <a:rPr lang="zh-CN" altLang="en-US" sz="994" b="0" i="0" u="none" strike="noStrike" baseline="30000">
                    <a:solidFill>
                      <a:srgbClr val="333333"/>
                    </a:solidFill>
                    <a:latin typeface="Times New Roman"/>
                    <a:cs typeface="Times New Roman"/>
                  </a:rPr>
                  <a:t>2</a:t>
                </a:r>
                <a:r>
                  <a:rPr lang="zh-CN" altLang="en-US" sz="994" b="0" i="0" u="none" strike="noStrike" baseline="0">
                    <a:solidFill>
                      <a:srgbClr val="333333"/>
                    </a:solidFill>
                    <a:latin typeface="Times New Roman"/>
                    <a:cs typeface="Times New Roman"/>
                  </a:rPr>
                  <a:t>)</a:t>
                </a:r>
              </a:p>
            </c:rich>
          </c:tx>
          <c:overlay val="0"/>
          <c:spPr>
            <a:noFill/>
            <a:ln w="25386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8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511175135"/>
        <c:crosses val="autoZero"/>
        <c:crossBetween val="between"/>
      </c:valAx>
      <c:spPr>
        <a:noFill/>
        <a:ln w="25386">
          <a:noFill/>
        </a:ln>
      </c:spPr>
    </c:plotArea>
    <c:plotVisOnly val="1"/>
    <c:dispBlanksAs val="gap"/>
    <c:showDLblsOverMax val="0"/>
  </c:chart>
  <c:spPr>
    <a:solidFill>
      <a:schemeClr val="bg1"/>
    </a:solidFill>
    <a:ln>
      <a:noFill/>
    </a:ln>
    <a:effectLst/>
  </c:spPr>
  <c:txPr>
    <a:bodyPr/>
    <a:lstStyle/>
    <a:p>
      <a:pPr>
        <a:defRPr/>
      </a:pPr>
      <a:endParaRPr lang="zh-CN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spPr>
            <a:solidFill>
              <a:srgbClr val="48D9E8"/>
            </a:solidFill>
            <a:ln w="25386">
              <a:noFill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Health</c:v>
                </c:pt>
                <c:pt idx="1">
                  <c:v>Normal</c:v>
                </c:pt>
                <c:pt idx="2">
                  <c:v>Not-Health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40.700000000000003</c:v>
                </c:pt>
                <c:pt idx="1">
                  <c:v>25.4</c:v>
                </c:pt>
                <c:pt idx="2">
                  <c:v>33.9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31B-4388-94CD-AE05DC5264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09261887"/>
        <c:axId val="1"/>
      </c:barChart>
      <c:catAx>
        <c:axId val="150926188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12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8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1099" b="0" i="0" u="none" strike="noStrike" baseline="0">
                    <a:solidFill>
                      <a:srgbClr val="000000"/>
                    </a:solidFill>
                    <a:latin typeface="等线"/>
                    <a:ea typeface="等线"/>
                    <a:cs typeface="等线"/>
                  </a:defRPr>
                </a:pPr>
                <a:r>
                  <a:rPr lang="zh-CN" altLang="en-US" sz="994" b="0" i="0" u="none" strike="noStrike" baseline="0">
                    <a:solidFill>
                      <a:srgbClr val="333333"/>
                    </a:solidFill>
                    <a:latin typeface="Times New Roman"/>
                    <a:cs typeface="Times New Roman"/>
                  </a:rPr>
                  <a:t>Area(hm</a:t>
                </a:r>
                <a:r>
                  <a:rPr lang="zh-CN" altLang="en-US" sz="994" b="0" i="0" u="none" strike="noStrike" baseline="30000">
                    <a:solidFill>
                      <a:srgbClr val="333333"/>
                    </a:solidFill>
                    <a:latin typeface="Times New Roman"/>
                    <a:cs typeface="Times New Roman"/>
                  </a:rPr>
                  <a:t>2</a:t>
                </a:r>
                <a:r>
                  <a:rPr lang="zh-CN" altLang="en-US" sz="994" b="0" i="0" u="none" strike="noStrike" baseline="0">
                    <a:solidFill>
                      <a:srgbClr val="333333"/>
                    </a:solidFill>
                    <a:latin typeface="Times New Roman"/>
                    <a:cs typeface="Times New Roman"/>
                  </a:rPr>
                  <a:t>)</a:t>
                </a:r>
              </a:p>
            </c:rich>
          </c:tx>
          <c:overlay val="0"/>
          <c:spPr>
            <a:noFill/>
            <a:ln w="25386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8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509261887"/>
        <c:crosses val="autoZero"/>
        <c:crossBetween val="between"/>
      </c:valAx>
      <c:spPr>
        <a:noFill/>
        <a:ln w="25386">
          <a:noFill/>
        </a:ln>
      </c:spPr>
    </c:plotArea>
    <c:plotVisOnly val="1"/>
    <c:dispBlanksAs val="gap"/>
    <c:showDLblsOverMax val="0"/>
  </c:chart>
  <c:spPr>
    <a:solidFill>
      <a:schemeClr val="bg1"/>
    </a:solidFill>
    <a:ln>
      <a:noFill/>
    </a:ln>
    <a:effectLst/>
  </c:spPr>
  <c:txPr>
    <a:bodyPr/>
    <a:lstStyle/>
    <a:p>
      <a:pPr>
        <a:defRPr/>
      </a:pPr>
      <a:endParaRPr lang="zh-CN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spPr>
            <a:solidFill>
              <a:srgbClr val="48D9E8"/>
            </a:solidFill>
            <a:ln w="25386">
              <a:noFill/>
            </a:ln>
          </c:spPr>
          <c:invertIfNegative val="0"/>
          <c:cat>
            <c:strRef>
              <c:f>Sheet1!$A$2:$A$4</c:f>
              <c:strCache>
                <c:ptCount val="3"/>
                <c:pt idx="0">
                  <c:v>Health</c:v>
                </c:pt>
                <c:pt idx="1">
                  <c:v>Normal</c:v>
                </c:pt>
                <c:pt idx="2">
                  <c:v>Not-Health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40.700000000000003</c:v>
                </c:pt>
                <c:pt idx="1">
                  <c:v>25.4</c:v>
                </c:pt>
                <c:pt idx="2">
                  <c:v>33.9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B2E-45D9-A53C-5AF8DBDB00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11174303"/>
        <c:axId val="1"/>
      </c:barChart>
      <c:catAx>
        <c:axId val="151117430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12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8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1099" b="0" i="0" u="none" strike="noStrike" baseline="0">
                    <a:solidFill>
                      <a:srgbClr val="000000"/>
                    </a:solidFill>
                    <a:latin typeface="等线"/>
                    <a:ea typeface="等线"/>
                    <a:cs typeface="等线"/>
                  </a:defRPr>
                </a:pPr>
                <a:r>
                  <a:rPr lang="zh-CN" altLang="en-US" sz="994" b="0" i="0" u="none" strike="noStrike" baseline="0">
                    <a:solidFill>
                      <a:srgbClr val="333333"/>
                    </a:solidFill>
                    <a:latin typeface="Times New Roman"/>
                    <a:cs typeface="Times New Roman"/>
                  </a:rPr>
                  <a:t>Area(hm</a:t>
                </a:r>
                <a:r>
                  <a:rPr lang="zh-CN" altLang="en-US" sz="994" b="0" i="0" u="none" strike="noStrike" baseline="30000">
                    <a:solidFill>
                      <a:srgbClr val="333333"/>
                    </a:solidFill>
                    <a:latin typeface="Times New Roman"/>
                    <a:cs typeface="Times New Roman"/>
                  </a:rPr>
                  <a:t>2</a:t>
                </a:r>
                <a:r>
                  <a:rPr lang="zh-CN" altLang="en-US" sz="994" b="0" i="0" u="none" strike="noStrike" baseline="0">
                    <a:solidFill>
                      <a:srgbClr val="333333"/>
                    </a:solidFill>
                    <a:latin typeface="Times New Roman"/>
                    <a:cs typeface="Times New Roman"/>
                  </a:rPr>
                  <a:t>)</a:t>
                </a:r>
              </a:p>
            </c:rich>
          </c:tx>
          <c:overlay val="0"/>
          <c:spPr>
            <a:noFill/>
            <a:ln w="25386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8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511174303"/>
        <c:crosses val="autoZero"/>
        <c:crossBetween val="between"/>
      </c:valAx>
      <c:spPr>
        <a:noFill/>
        <a:ln w="25386">
          <a:noFill/>
        </a:ln>
      </c:spPr>
    </c:plotArea>
    <c:plotVisOnly val="1"/>
    <c:dispBlanksAs val="gap"/>
    <c:showDLblsOverMax val="0"/>
  </c:chart>
  <c:spPr>
    <a:solidFill>
      <a:schemeClr val="bg1"/>
    </a:solidFill>
    <a:ln>
      <a:noFill/>
    </a:ln>
    <a:effectLst/>
  </c:spPr>
  <c:txPr>
    <a:bodyPr/>
    <a:lstStyle/>
    <a:p>
      <a:pPr>
        <a:defRPr/>
      </a:pPr>
      <a:endParaRPr lang="zh-CN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等线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等线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等线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等线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等线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等线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xkrs</cp:lastModifiedBy>
  <cp:revision>2</cp:revision>
  <dcterms:created xsi:type="dcterms:W3CDTF">2022-10-11T05:37:00Z</dcterms:created>
  <dcterms:modified xsi:type="dcterms:W3CDTF">2022-10-11T05:37:00Z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